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bookmarkStart w:id="0" w:name="_GoBack"/>
      <w:bookmarkEnd w:id="0"/>
      <w:r>
        <w:rPr>
          <w:rFonts w:ascii="Sylfaen" w:eastAsia="Times New Roman" w:hAnsi="Sylfaen" w:cs="Sylfaen"/>
          <w:noProof/>
          <w:sz w:val="24"/>
          <w:szCs w:val="24"/>
          <w:lang w:val="en-US"/>
        </w:rPr>
        <w:t>ვებგვერდი, 12/03/2021</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სარეგისტრაციო კოდი </w:t>
      </w:r>
      <w:r>
        <w:rPr>
          <w:rFonts w:ascii="Sylfaen" w:eastAsia="Times New Roman" w:hAnsi="Sylfaen" w:cs="Sylfaen"/>
          <w:noProof/>
          <w:sz w:val="24"/>
          <w:szCs w:val="24"/>
          <w:lang w:val="en-US"/>
        </w:rPr>
        <w:tab/>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420000000.05.001.020240</w:t>
      </w:r>
    </w:p>
    <w:p w:rsidR="00E45B76" w:rsidRDefault="00E45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საქართველოს კანონი</w:t>
      </w:r>
    </w:p>
    <w:p w:rsidR="00E45B76" w:rsidRDefault="00E45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„ატმოსფერული ჰაერის დაცვის შესახებ“ საქართველოს კანონში ცვლილების შეტანის თაობაზე</w:t>
      </w:r>
    </w:p>
    <w:p w:rsidR="00E45B76" w:rsidRDefault="00E45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b/>
          <w:bCs/>
          <w:noProof/>
          <w:sz w:val="24"/>
          <w:szCs w:val="24"/>
          <w:lang w:val="en-US"/>
        </w:rPr>
        <w:t>მუხლი 1.</w:t>
      </w:r>
      <w:r>
        <w:rPr>
          <w:rFonts w:ascii="Sylfaen" w:hAnsi="Sylfaen" w:cs="Sylfaen"/>
          <w:noProof/>
          <w:sz w:val="24"/>
          <w:szCs w:val="24"/>
          <w:lang w:val="en-US"/>
        </w:rPr>
        <w:t xml:space="preserve"> </w:t>
      </w:r>
      <w:r>
        <w:rPr>
          <w:rFonts w:ascii="Sylfaen" w:eastAsia="Times New Roman" w:hAnsi="Sylfaen" w:cs="Sylfaen"/>
          <w:noProof/>
          <w:sz w:val="24"/>
          <w:szCs w:val="24"/>
          <w:lang w:val="en-US"/>
        </w:rPr>
        <w:t>„ატმოსფერული ჰაერის დაცვის შესახებ“ საქართველოს კანონში (საქართველოს საკანონმდებლო მაცნე, №30(37), 1999 წელი, მუხ. 158) შეტანილ იქნეს შემდეგი ცვლილება:</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 38-ე მუხლს დაემატოს შემდეგი შინაარსის 1</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2</w:t>
      </w:r>
      <w:r>
        <w:rPr>
          <w:rFonts w:ascii="Sylfaen" w:hAnsi="Sylfaen" w:cs="Sylfaen"/>
          <w:noProof/>
          <w:sz w:val="24"/>
          <w:szCs w:val="24"/>
          <w:lang w:val="en-US"/>
        </w:rPr>
        <w:t xml:space="preserve"> </w:t>
      </w:r>
      <w:r>
        <w:rPr>
          <w:rFonts w:ascii="Sylfaen" w:eastAsia="Times New Roman" w:hAnsi="Sylfaen" w:cs="Sylfaen"/>
          <w:noProof/>
          <w:sz w:val="24"/>
          <w:szCs w:val="24"/>
          <w:lang w:val="en-US"/>
        </w:rPr>
        <w:t>პუნქტი:</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2</w:t>
      </w:r>
      <w:r>
        <w:rPr>
          <w:rFonts w:ascii="Sylfaen" w:hAnsi="Sylfaen" w:cs="Sylfaen"/>
          <w:noProof/>
          <w:sz w:val="24"/>
          <w:szCs w:val="24"/>
          <w:lang w:val="en-US"/>
        </w:rPr>
        <w:t xml:space="preserve">. </w:t>
      </w:r>
      <w:r>
        <w:rPr>
          <w:rFonts w:ascii="Sylfaen" w:eastAsia="Times New Roman" w:hAnsi="Sylfaen" w:cs="Sylfaen"/>
          <w:noProof/>
          <w:sz w:val="24"/>
          <w:szCs w:val="24"/>
          <w:lang w:val="en-US"/>
        </w:rPr>
        <w:t>ამ კანონის დანართით გათვალისწინებული საქმიანობის სუბიექტი ვალდებულია დაბინძურების სტაციონარული წყაროებიდან მავნე ნივთიერებათა გაფრქვევების თვითმონიტორინგის წარმოების მიზნით ინსტრუმენტული მეთოდით უწყვეტად განსაზღვროს დაბინძურების სტაციონარული წყაროებიდან ატმოსფერულ ჰაერში მავნე ნივთიერებების ორგანიზებული გაფრქვევების ფაქტობრივი რაოდენობა. საქმიანობის სუბიექტი დაბინძურების სტაციონარული წყაროებიდან ატმოსფერულ ჰაერში მავნე ნივთიერებების ორგანიზებული გაფრქვევების ფაქტობრივ რაოდენობასა და ტემპერატურას განსაზღვრავს უშუალოდ მავნე ნივთიერებების გაფრქვევის იმ წყაროზე (მილში), რომლის მეშვეობითაც იგი ამ კანონის დანართით გათვალისწინებულ საქმიანობას ახორციელებს. ატმოსფერულ ჰაერში იმ მავნე ნივთიერებების ნუსხა, რომელთა ორგანიზებული გაფრქვევების ფაქტობრივი რაოდენობის ინსტრუმენტული მეთოდით უწყვეტად განსაზღვრაც სავალდებულოა, დგინდება ამ მუხლის მე-3 პუნქტით გათვალისწინებული საქართველოს მთავრობის დადგენილებით.“.</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 კანონს დაემატოს შემდეგი შინაარსის:</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50</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მუხლი:</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„მუხლი 50</w:t>
      </w:r>
      <w:r>
        <w:rPr>
          <w:rFonts w:ascii="Times New Roman" w:eastAsia="Times New Roman" w:hAnsi="Times New Roman" w:cs="Times New Roman"/>
          <w:b/>
          <w:bCs/>
          <w:noProof/>
          <w:sz w:val="24"/>
          <w:szCs w:val="24"/>
          <w:lang w:val="en-US"/>
        </w:rPr>
        <w:t>​</w:t>
      </w:r>
      <w:r>
        <w:rPr>
          <w:rFonts w:ascii="Sylfaen" w:hAnsi="Sylfaen" w:cs="Sylfaen"/>
          <w:b/>
          <w:bCs/>
          <w:noProof/>
          <w:position w:val="6"/>
          <w:sz w:val="24"/>
          <w:szCs w:val="24"/>
          <w:lang w:val="en-US"/>
        </w:rPr>
        <w:t>1</w:t>
      </w:r>
      <w:r>
        <w:rPr>
          <w:rFonts w:ascii="Sylfaen" w:hAnsi="Sylfaen" w:cs="Sylfaen"/>
          <w:b/>
          <w:bCs/>
          <w:noProof/>
          <w:sz w:val="24"/>
          <w:szCs w:val="24"/>
          <w:lang w:val="en-US"/>
        </w:rPr>
        <w:t xml:space="preserve">. </w:t>
      </w:r>
      <w:r>
        <w:rPr>
          <w:rFonts w:ascii="Sylfaen" w:eastAsia="Times New Roman" w:hAnsi="Sylfaen" w:cs="Sylfaen"/>
          <w:b/>
          <w:bCs/>
          <w:noProof/>
          <w:sz w:val="24"/>
          <w:szCs w:val="24"/>
          <w:lang w:val="en-US"/>
        </w:rPr>
        <w:t>საღებავებში, ლაქებსა და ავტოსატრანსპორტო საშუალებების გადაღებვის პროდუქციაში ორგანული გამხსნელების გამოყენებით გამოწვეული აქროლადი ორგანული ნაერთების (აონ) გაფრქვევების ზღვრული ნორმები</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საღებავებში, ლაქებსა და ავტოსატრანსპორტო საშუალებების გადაღებვის პროდუქციაში ორგანული გამხსნელების გამოყენებით გამოწვეული აქროლადი ორგანული ნაერთების (აონ) გაფრქვევების ზღვრული ნორმები დგინდება საქართველოს მთავრობის დადგენილებით.“;</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დანართი:</w:t>
      </w:r>
    </w:p>
    <w:p w:rsidR="00E45B76" w:rsidRDefault="00E45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 xml:space="preserve">                                                                                                                  „დანართი</w:t>
      </w:r>
    </w:p>
    <w:tbl>
      <w:tblPr>
        <w:tblW w:w="0" w:type="auto"/>
        <w:tblInd w:w="15" w:type="dxa"/>
        <w:tblLayout w:type="fixed"/>
        <w:tblCellMar>
          <w:left w:w="15" w:type="dxa"/>
          <w:right w:w="15" w:type="dxa"/>
        </w:tblCellMar>
        <w:tblLook w:val="0000" w:firstRow="0" w:lastRow="0" w:firstColumn="0" w:lastColumn="0" w:noHBand="0" w:noVBand="0"/>
      </w:tblPr>
      <w:tblGrid>
        <w:gridCol w:w="392"/>
        <w:gridCol w:w="8939"/>
      </w:tblGrid>
      <w:tr w:rsidR="00E45B76">
        <w:trPr>
          <w:trHeight w:val="89"/>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0"/>
                <w:szCs w:val="20"/>
                <w:lang w:val="en-US"/>
              </w:rPr>
            </w:pPr>
            <w:r>
              <w:rPr>
                <w:rFonts w:ascii="Sylfaen" w:eastAsia="Times New Roman" w:hAnsi="Sylfaen" w:cs="Sylfaen"/>
                <w:b/>
                <w:bCs/>
                <w:noProof/>
                <w:sz w:val="20"/>
                <w:szCs w:val="20"/>
                <w:lang w:val="en-US"/>
              </w:rPr>
              <w:t>ს ა ქ მ ი ა ნ ო ბ ე ბ ი</w:t>
            </w:r>
          </w:p>
        </w:tc>
      </w:tr>
      <w:tr w:rsidR="00E45B76">
        <w:trPr>
          <w:trHeight w:val="84"/>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noProof/>
                <w:sz w:val="20"/>
                <w:szCs w:val="20"/>
                <w:lang w:val="en-US"/>
              </w:rPr>
              <w:t>1</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ნედლი ნავთობის (გარდა საზეთ-საპოხი მასალისა) გადამუშავება </w:t>
            </w:r>
          </w:p>
        </w:tc>
      </w:tr>
      <w:tr w:rsidR="00E45B76">
        <w:trPr>
          <w:trHeight w:val="89"/>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2</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10 მეგავატი ან 10 მეგავატზე მეტი სიმძლავრის თბოელექტროსადგურის ექსპლუატაცია </w:t>
            </w:r>
          </w:p>
        </w:tc>
      </w:tr>
      <w:tr w:rsidR="00E45B76">
        <w:trPr>
          <w:trHeight w:val="84"/>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noProof/>
                <w:sz w:val="20"/>
                <w:szCs w:val="20"/>
                <w:lang w:val="en-US"/>
              </w:rPr>
              <w:t>3</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თუჯის, ფოლადის ან/და ფეროშენადნობების წარმოება, პირველადი ან/და მეორეული დნობის ჩათვლით </w:t>
            </w:r>
          </w:p>
        </w:tc>
      </w:tr>
      <w:tr w:rsidR="00E45B76">
        <w:trPr>
          <w:trHeight w:val="89"/>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4</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თუჯის ან ფოლადის დნობა პროდუქციის წარმოების მიზნით </w:t>
            </w:r>
          </w:p>
        </w:tc>
      </w:tr>
      <w:tr w:rsidR="00E45B76">
        <w:trPr>
          <w:trHeight w:val="173"/>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5</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შავი ლითონის დამუშავება: ლითონის ცხლად დამუშავება, სამჭედლო გრდემლით, დამცავი ლითონის ფენით დაფარვა წელიწადში 50 ტონა ან 50 ტონაზე მეტი წარმადობით </w:t>
            </w:r>
          </w:p>
        </w:tc>
      </w:tr>
      <w:tr w:rsidR="00E45B76">
        <w:trPr>
          <w:trHeight w:val="84"/>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6</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ფერადი ლითონის (გარდა ძვირფასი ლითონისა) დნობა წელიწადში 20 ტონა ან 20 ტონაზე მეტი წარმადობით </w:t>
            </w:r>
          </w:p>
        </w:tc>
      </w:tr>
      <w:tr w:rsidR="00E45B76">
        <w:trPr>
          <w:trHeight w:val="89"/>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7</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ლითონშემცველი მადნის გამოწვა და აგლომერირება </w:t>
            </w:r>
          </w:p>
        </w:tc>
      </w:tr>
      <w:tr w:rsidR="00E45B76">
        <w:trPr>
          <w:trHeight w:val="173"/>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8</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მეტალურგიული, ქიმიური ან ელექტროქიმიური პროცესების მეშვეობით მადნიდან, კონცენტრატებიდან ან მეორეული ნედლეულიდან ფერადი ლითონების წარმოება, გარდა საიუველირო წარმოებისა </w:t>
            </w:r>
          </w:p>
        </w:tc>
      </w:tr>
      <w:tr w:rsidR="00E45B76">
        <w:trPr>
          <w:trHeight w:val="89"/>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9</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ძირითადი ორგანული ნაერთების წარმოება </w:t>
            </w:r>
          </w:p>
        </w:tc>
      </w:tr>
      <w:tr w:rsidR="00E45B76">
        <w:trPr>
          <w:trHeight w:val="84"/>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10</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ძირითადი არაორგანული ნაერთების წარმოება </w:t>
            </w:r>
          </w:p>
        </w:tc>
      </w:tr>
      <w:tr w:rsidR="00E45B76">
        <w:trPr>
          <w:trHeight w:val="89"/>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11</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ფოსფოროვანი, აზოტოვანი ან/და კალიუმოვანი სასუქების მარტივი ან/და რთული წარმოება </w:t>
            </w:r>
          </w:p>
        </w:tc>
      </w:tr>
      <w:tr w:rsidR="00E45B76">
        <w:trPr>
          <w:trHeight w:val="84"/>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12</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შუალედური პროდუქტის ქიმიური დამუშავებით ქიმიური ნივთიერების წარმოება </w:t>
            </w:r>
          </w:p>
        </w:tc>
      </w:tr>
      <w:tr w:rsidR="00E45B76">
        <w:trPr>
          <w:trHeight w:val="173"/>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13</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ფარმაცევტული პროდუქტების, საღებავების, ლაქების, პეროქსიდის, ელასტომერის ან/და პლასტიკური მასალის წარმოება </w:t>
            </w:r>
          </w:p>
        </w:tc>
      </w:tr>
      <w:tr w:rsidR="00E45B76">
        <w:trPr>
          <w:trHeight w:val="89"/>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14</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ცემენტის, კირის, გაჯის ან/და თაბაშირის წარმოება </w:t>
            </w:r>
          </w:p>
        </w:tc>
      </w:tr>
      <w:tr w:rsidR="00E45B76">
        <w:trPr>
          <w:trHeight w:val="89"/>
        </w:trPr>
        <w:tc>
          <w:tcPr>
            <w:tcW w:w="392"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15</w:t>
            </w:r>
          </w:p>
        </w:tc>
        <w:tc>
          <w:tcPr>
            <w:tcW w:w="8939" w:type="dxa"/>
            <w:tcBorders>
              <w:top w:val="single" w:sz="6" w:space="0" w:color="auto"/>
              <w:left w:val="single" w:sz="6" w:space="0" w:color="auto"/>
              <w:bottom w:val="single" w:sz="6" w:space="0" w:color="auto"/>
              <w:right w:val="single" w:sz="6" w:space="0" w:color="auto"/>
            </w:tcBorders>
            <w:vAlign w:val="center"/>
          </w:tcPr>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მინის ან/და მინის პროდუქციის (მათ შორის, მინის ბოჭკოს) წარმოება </w:t>
            </w:r>
          </w:p>
        </w:tc>
      </w:tr>
    </w:tbl>
    <w:p w:rsidR="00E45B76" w:rsidRDefault="00E45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b/>
          <w:bCs/>
          <w:noProof/>
          <w:sz w:val="24"/>
          <w:szCs w:val="24"/>
          <w:lang w:val="en-US"/>
        </w:rPr>
        <w:t>მუხლი 2.</w:t>
      </w:r>
      <w:r>
        <w:rPr>
          <w:rFonts w:ascii="Sylfaen" w:hAnsi="Sylfaen" w:cs="Sylfaen"/>
          <w:noProof/>
          <w:sz w:val="24"/>
          <w:szCs w:val="24"/>
          <w:lang w:val="en-US"/>
        </w:rPr>
        <w:t xml:space="preserve"> </w:t>
      </w:r>
      <w:r>
        <w:rPr>
          <w:rFonts w:ascii="Sylfaen" w:eastAsia="Times New Roman" w:hAnsi="Sylfaen" w:cs="Sylfaen"/>
          <w:noProof/>
          <w:sz w:val="24"/>
          <w:szCs w:val="24"/>
          <w:lang w:val="en-US"/>
        </w:rPr>
        <w:t>საქართველოს მთავრობამ 2021 წლის 1 ივნისამდე დაადგინოს:</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ატმოსფერულ ჰაერში იმ მავნე ნივთიერებების ნუსხა, რომელთა ორგანიზებული გაფრქვევების ფაქტობრივი რაოდენობის ინსტრუმენტული მეთოდით უწყვეტად განსაზღვრაც სავალდებულოა;</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საღებავებში, ლაქებსა და ავტოსატრანსპორტო საშუალებების გადაღებვის პროდუქციაში ორგანული გამხსნელების გამოყენებით გამოწვეული აქროლადი ორგანული ნაერთების (აონ) გაფრქვევების ზღვრული ნორმები.</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მუხლი 3</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ეს კანონი, გარდა ამ კანონის პირველი მუხლის პირველი პუნქტისა და მე-2 პუნქტის „ბ“ ქვეპუნქტისა, ამოქმედდეს გამოქვეყნებისთანავე.</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 ამ კანონის პირველი მუხლის პირველი პუნქტი და მე-2 პუნქტის „ბ“ ქვეპუნქტი ამოქმედდეს 2021 წლის 1 ივნისიდან.</w:t>
      </w:r>
    </w:p>
    <w:p w:rsidR="00E45B76" w:rsidRDefault="00E45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noProof/>
          <w:sz w:val="24"/>
          <w:szCs w:val="24"/>
          <w:lang w:val="en-US"/>
        </w:rPr>
        <w:t>საქართველოს პრეზიდენტი</w:t>
      </w:r>
      <w:r>
        <w:rPr>
          <w:rFonts w:ascii="Sylfaen" w:eastAsia="Times New Roman" w:hAnsi="Sylfaen" w:cs="Sylfaen"/>
          <w:noProof/>
          <w:sz w:val="24"/>
          <w:szCs w:val="24"/>
          <w:lang w:val="en-US"/>
        </w:rPr>
        <w:tab/>
      </w:r>
      <w:r>
        <w:rPr>
          <w:rFonts w:ascii="Sylfaen" w:eastAsia="Times New Roman" w:hAnsi="Sylfaen" w:cs="Sylfaen"/>
          <w:noProof/>
          <w:sz w:val="24"/>
          <w:szCs w:val="24"/>
          <w:lang w:val="en-US"/>
        </w:rPr>
        <w:tab/>
        <w:t xml:space="preserve">                    </w:t>
      </w:r>
      <w:r>
        <w:rPr>
          <w:rFonts w:ascii="Sylfaen" w:eastAsia="Times New Roman" w:hAnsi="Sylfaen" w:cs="Sylfaen"/>
          <w:b/>
          <w:bCs/>
          <w:i/>
          <w:iCs/>
          <w:noProof/>
          <w:sz w:val="24"/>
          <w:szCs w:val="24"/>
          <w:lang w:val="en-US"/>
        </w:rPr>
        <w:t>სალომე ზურაბიშვილი</w:t>
      </w:r>
    </w:p>
    <w:p w:rsidR="00E45B76" w:rsidRDefault="00E45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თბილისი,</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 მარტი 2021 წ.</w:t>
      </w:r>
    </w:p>
    <w:p w:rsidR="00E45B76" w:rsidRDefault="005D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N246-IVმს-Xმპ</w:t>
      </w:r>
    </w:p>
    <w:p w:rsidR="00E45B76" w:rsidRDefault="00E45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p>
    <w:sectPr w:rsidR="00E45B76">
      <w:headerReference w:type="even" r:id="rId6"/>
      <w:headerReference w:type="default" r:id="rId7"/>
      <w:footerReference w:type="even" r:id="rId8"/>
      <w:footerReference w:type="default" r:id="rId9"/>
      <w:headerReference w:type="first" r:id="rId10"/>
      <w:footerReference w:type="first" r:id="rId11"/>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FAF" w:rsidRDefault="00A32FAF" w:rsidP="005D7A45">
      <w:pPr>
        <w:spacing w:after="0" w:line="240" w:lineRule="auto"/>
      </w:pPr>
      <w:r>
        <w:separator/>
      </w:r>
    </w:p>
  </w:endnote>
  <w:endnote w:type="continuationSeparator" w:id="0">
    <w:p w:rsidR="00A32FAF" w:rsidRDefault="00A32FAF" w:rsidP="005D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45" w:rsidRDefault="005D7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auto"/>
      </w:tblBorders>
      <w:tblLayout w:type="fixed"/>
      <w:tblLook w:val="0000" w:firstRow="0" w:lastRow="0" w:firstColumn="0" w:lastColumn="0" w:noHBand="0" w:noVBand="0"/>
    </w:tblPr>
    <w:tblGrid>
      <w:gridCol w:w="5090"/>
      <w:gridCol w:w="5090"/>
    </w:tblGrid>
    <w:tr w:rsidR="005D7A45" w:rsidTr="005D7A45">
      <w:tc>
        <w:tcPr>
          <w:tcW w:w="5090" w:type="dxa"/>
          <w:shd w:val="clear" w:color="auto" w:fill="auto"/>
        </w:tcPr>
        <w:p w:rsidR="005D7A45" w:rsidRPr="005D7A45" w:rsidRDefault="005D7A45" w:rsidP="005D7A45">
          <w:pPr>
            <w:pStyle w:val="Footer"/>
            <w:spacing w:after="0" w:line="240" w:lineRule="auto"/>
            <w:rPr>
              <w:rFonts w:ascii="Sylfaen" w:hAnsi="Sylfaen"/>
              <w:noProof/>
              <w:sz w:val="16"/>
            </w:rPr>
          </w:pPr>
          <w:r w:rsidRPr="005D7A45">
            <w:rPr>
              <w:rFonts w:ascii="Sylfaen" w:hAnsi="Sylfaen"/>
              <w:noProof/>
              <w:sz w:val="16"/>
            </w:rPr>
            <w:t>2 მარტი 2021  პარლამენტი  კანონი N 246</w:t>
          </w:r>
        </w:p>
      </w:tc>
      <w:tc>
        <w:tcPr>
          <w:tcW w:w="5090" w:type="dxa"/>
          <w:shd w:val="clear" w:color="auto" w:fill="auto"/>
        </w:tcPr>
        <w:p w:rsidR="005D7A45" w:rsidRPr="005D7A45" w:rsidRDefault="005D7A45" w:rsidP="005D7A45">
          <w:pPr>
            <w:pStyle w:val="Footer"/>
            <w:spacing w:after="0" w:line="240" w:lineRule="auto"/>
            <w:jc w:val="right"/>
            <w:rPr>
              <w:rFonts w:ascii="Sylfaen" w:hAnsi="Sylfaen"/>
              <w:noProof/>
              <w:sz w:val="16"/>
            </w:rPr>
          </w:pPr>
          <w:r w:rsidRPr="005D7A45">
            <w:rPr>
              <w:rFonts w:ascii="Sylfaen" w:hAnsi="Sylfaen"/>
              <w:noProof/>
              <w:sz w:val="16"/>
            </w:rPr>
            <w:t xml:space="preserve"> [ ამოღებულია ბაზიდან  : 11 აგვისტო 2021 ]</w:t>
          </w:r>
        </w:p>
      </w:tc>
    </w:tr>
    <w:tr w:rsidR="005D7A45" w:rsidTr="005D7A45">
      <w:tc>
        <w:tcPr>
          <w:tcW w:w="5090" w:type="dxa"/>
          <w:shd w:val="clear" w:color="auto" w:fill="auto"/>
        </w:tcPr>
        <w:p w:rsidR="005D7A45" w:rsidRDefault="005D7A45" w:rsidP="005D7A45">
          <w:pPr>
            <w:pStyle w:val="Footer"/>
            <w:spacing w:after="0" w:line="240" w:lineRule="auto"/>
          </w:pPr>
        </w:p>
      </w:tc>
      <w:tc>
        <w:tcPr>
          <w:tcW w:w="5090" w:type="dxa"/>
          <w:shd w:val="clear" w:color="auto" w:fill="auto"/>
        </w:tcPr>
        <w:p w:rsidR="005D7A45" w:rsidRPr="005D7A45" w:rsidRDefault="005D7A45" w:rsidP="005D7A45">
          <w:pPr>
            <w:pStyle w:val="Footer"/>
            <w:spacing w:after="0" w:line="240" w:lineRule="auto"/>
            <w:jc w:val="right"/>
            <w:rPr>
              <w:rFonts w:ascii="Sylfaen" w:hAnsi="Sylfaen"/>
              <w:noProof/>
              <w:sz w:val="16"/>
            </w:rPr>
          </w:pPr>
        </w:p>
      </w:tc>
    </w:tr>
  </w:tbl>
  <w:p w:rsidR="005D7A45" w:rsidRPr="005D7A45" w:rsidRDefault="005D7A45" w:rsidP="005D7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45" w:rsidRDefault="005D7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FAF" w:rsidRDefault="00A32FAF" w:rsidP="005D7A45">
      <w:pPr>
        <w:spacing w:after="0" w:line="240" w:lineRule="auto"/>
      </w:pPr>
      <w:r>
        <w:separator/>
      </w:r>
    </w:p>
  </w:footnote>
  <w:footnote w:type="continuationSeparator" w:id="0">
    <w:p w:rsidR="00A32FAF" w:rsidRDefault="00A32FAF" w:rsidP="005D7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45" w:rsidRDefault="005D7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auto"/>
      </w:tblBorders>
      <w:tblLayout w:type="fixed"/>
      <w:tblLook w:val="0000" w:firstRow="0" w:lastRow="0" w:firstColumn="0" w:lastColumn="0" w:noHBand="0" w:noVBand="0"/>
    </w:tblPr>
    <w:tblGrid>
      <w:gridCol w:w="5090"/>
      <w:gridCol w:w="5090"/>
    </w:tblGrid>
    <w:tr w:rsidR="005D7A45" w:rsidTr="005D7A45">
      <w:tc>
        <w:tcPr>
          <w:tcW w:w="5090" w:type="dxa"/>
          <w:shd w:val="clear" w:color="auto" w:fill="auto"/>
        </w:tcPr>
        <w:p w:rsidR="005D7A45" w:rsidRDefault="005D7A45" w:rsidP="005D7A45">
          <w:pPr>
            <w:pStyle w:val="Header"/>
            <w:spacing w:after="0" w:line="240" w:lineRule="auto"/>
          </w:pPr>
          <w:r>
            <w:t>Codex R4</w:t>
          </w:r>
        </w:p>
      </w:tc>
      <w:tc>
        <w:tcPr>
          <w:tcW w:w="5090" w:type="dxa"/>
          <w:shd w:val="clear" w:color="auto" w:fill="auto"/>
        </w:tcPr>
        <w:p w:rsidR="005D7A45" w:rsidRDefault="005D7A45" w:rsidP="005D7A45">
          <w:pPr>
            <w:pStyle w:val="Header"/>
            <w:spacing w:after="0" w:line="240" w:lineRule="auto"/>
            <w:jc w:val="right"/>
          </w:pPr>
          <w:r>
            <w:fldChar w:fldCharType="begin"/>
          </w:r>
          <w:r>
            <w:instrText xml:space="preserve"> PAGE  \* MERGEFORMAT </w:instrText>
          </w:r>
          <w:r>
            <w:fldChar w:fldCharType="separate"/>
          </w:r>
          <w:r w:rsidR="00AA3CF5">
            <w:rPr>
              <w:noProof/>
            </w:rPr>
            <w:t>1</w:t>
          </w:r>
          <w:r>
            <w:fldChar w:fldCharType="end"/>
          </w:r>
          <w:r>
            <w:t xml:space="preserve"> of </w:t>
          </w:r>
          <w:r w:rsidR="00A32FAF">
            <w:fldChar w:fldCharType="begin"/>
          </w:r>
          <w:r w:rsidR="00A32FAF">
            <w:instrText xml:space="preserve"> NUMPAGES  \* MERGEFORMAT </w:instrText>
          </w:r>
          <w:r w:rsidR="00A32FAF">
            <w:fldChar w:fldCharType="separate"/>
          </w:r>
          <w:r w:rsidR="00AA3CF5">
            <w:rPr>
              <w:noProof/>
            </w:rPr>
            <w:t>3</w:t>
          </w:r>
          <w:r w:rsidR="00A32FAF">
            <w:rPr>
              <w:noProof/>
            </w:rPr>
            <w:fldChar w:fldCharType="end"/>
          </w:r>
        </w:p>
      </w:tc>
    </w:tr>
  </w:tbl>
  <w:p w:rsidR="005D7A45" w:rsidRPr="005D7A45" w:rsidRDefault="005D7A45" w:rsidP="005D7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45" w:rsidRDefault="005D7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45"/>
    <w:rsid w:val="005D7A45"/>
    <w:rsid w:val="00A32FAF"/>
    <w:rsid w:val="00AA3CF5"/>
    <w:rsid w:val="00E4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216273-B989-44A5-950A-FD64A5C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NormalWeb">
    <w:name w:val="Normal (Web)"/>
    <w:basedOn w:val="Normal"/>
    <w:uiPriority w:val="9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D7A45"/>
    <w:pPr>
      <w:tabs>
        <w:tab w:val="center" w:pos="4680"/>
        <w:tab w:val="right" w:pos="9360"/>
      </w:tabs>
    </w:pPr>
  </w:style>
  <w:style w:type="character" w:customStyle="1" w:styleId="HeaderChar">
    <w:name w:val="Header Char"/>
    <w:basedOn w:val="DefaultParagraphFont"/>
    <w:link w:val="Header"/>
    <w:uiPriority w:val="99"/>
    <w:rsid w:val="005D7A45"/>
    <w:rPr>
      <w:rFonts w:ascii="Calibri" w:hAnsi="Calibri" w:cs="Calibri"/>
      <w:lang w:val="x-none"/>
    </w:rPr>
  </w:style>
  <w:style w:type="paragraph" w:styleId="Footer">
    <w:name w:val="footer"/>
    <w:basedOn w:val="Normal"/>
    <w:link w:val="FooterChar"/>
    <w:uiPriority w:val="99"/>
    <w:unhideWhenUsed/>
    <w:rsid w:val="005D7A45"/>
    <w:pPr>
      <w:tabs>
        <w:tab w:val="center" w:pos="4680"/>
        <w:tab w:val="right" w:pos="9360"/>
      </w:tabs>
    </w:pPr>
  </w:style>
  <w:style w:type="character" w:customStyle="1" w:styleId="FooterChar">
    <w:name w:val="Footer Char"/>
    <w:basedOn w:val="DefaultParagraphFont"/>
    <w:link w:val="Footer"/>
    <w:uiPriority w:val="99"/>
    <w:rsid w:val="005D7A45"/>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Base>C:\2\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Veriko Aghlemashvili</dc:creator>
  <cp:keywords/>
  <dc:description/>
  <cp:lastModifiedBy>Veriko Aghlemashvili</cp:lastModifiedBy>
  <cp:revision>2</cp:revision>
  <dcterms:created xsi:type="dcterms:W3CDTF">2021-08-11T11:07:00Z</dcterms:created>
  <dcterms:modified xsi:type="dcterms:W3CDTF">2021-08-11T11:07:00Z</dcterms:modified>
</cp:coreProperties>
</file>